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F4A8D" w14:textId="77777777" w:rsidR="003469A2" w:rsidRPr="003469A2" w:rsidRDefault="003469A2" w:rsidP="003469A2">
      <w:pPr>
        <w:spacing w:after="0" w:line="240" w:lineRule="auto"/>
        <w:jc w:val="center"/>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sz w:val="24"/>
          <w:szCs w:val="24"/>
          <w:lang w:eastAsia="es-CO"/>
        </w:rPr>
        <w:t xml:space="preserve">OFICIO </w:t>
      </w:r>
      <w:proofErr w:type="spellStart"/>
      <w:r w:rsidRPr="003469A2">
        <w:rPr>
          <w:rFonts w:ascii="Times New Roman" w:eastAsia="Times New Roman" w:hAnsi="Times New Roman" w:cs="Times New Roman"/>
          <w:b/>
          <w:bCs/>
          <w:sz w:val="24"/>
          <w:szCs w:val="24"/>
          <w:lang w:eastAsia="es-CO"/>
        </w:rPr>
        <w:t>Nº</w:t>
      </w:r>
      <w:proofErr w:type="spellEnd"/>
      <w:r w:rsidRPr="003469A2">
        <w:rPr>
          <w:rFonts w:ascii="Times New Roman" w:eastAsia="Times New Roman" w:hAnsi="Times New Roman" w:cs="Times New Roman"/>
          <w:b/>
          <w:bCs/>
          <w:sz w:val="24"/>
          <w:szCs w:val="24"/>
          <w:lang w:eastAsia="es-CO"/>
        </w:rPr>
        <w:t xml:space="preserve"> 2006 [020470]</w:t>
      </w:r>
    </w:p>
    <w:p w14:paraId="61BBBE31" w14:textId="77777777" w:rsidR="003469A2" w:rsidRPr="003469A2" w:rsidRDefault="003469A2" w:rsidP="003469A2">
      <w:pPr>
        <w:spacing w:after="0" w:line="240" w:lineRule="auto"/>
        <w:jc w:val="center"/>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sz w:val="24"/>
          <w:szCs w:val="24"/>
          <w:lang w:eastAsia="es-CO"/>
        </w:rPr>
        <w:t>16-08-2019</w:t>
      </w:r>
    </w:p>
    <w:p w14:paraId="7A7C35C3" w14:textId="77777777" w:rsidR="003469A2" w:rsidRPr="003469A2" w:rsidRDefault="003469A2" w:rsidP="003469A2">
      <w:pPr>
        <w:spacing w:after="0" w:line="240" w:lineRule="auto"/>
        <w:jc w:val="center"/>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sz w:val="24"/>
          <w:szCs w:val="24"/>
          <w:lang w:eastAsia="es-CO"/>
        </w:rPr>
        <w:t>DIAN</w:t>
      </w:r>
    </w:p>
    <w:p w14:paraId="0A27837D"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28EBF973"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7FCD7C9A" w14:textId="77777777" w:rsidR="003469A2" w:rsidRPr="00E45DEF" w:rsidRDefault="003469A2" w:rsidP="003469A2">
      <w:pPr>
        <w:spacing w:after="0" w:line="240" w:lineRule="auto"/>
        <w:jc w:val="both"/>
        <w:rPr>
          <w:rFonts w:ascii="Times New Roman" w:eastAsia="Times New Roman" w:hAnsi="Times New Roman" w:cs="Times New Roman"/>
          <w:color w:val="FF0000"/>
          <w:sz w:val="24"/>
          <w:szCs w:val="24"/>
          <w:highlight w:val="green"/>
          <w:lang w:eastAsia="es-CO"/>
        </w:rPr>
      </w:pPr>
      <w:r w:rsidRPr="00E45DEF">
        <w:rPr>
          <w:rFonts w:ascii="Times New Roman" w:eastAsia="Times New Roman" w:hAnsi="Times New Roman" w:cs="Times New Roman"/>
          <w:color w:val="FF0000"/>
          <w:sz w:val="24"/>
          <w:szCs w:val="24"/>
          <w:highlight w:val="green"/>
          <w:lang w:eastAsia="es-CO"/>
        </w:rPr>
        <w:t>Subdirección de Gestión Normativa y Doctrina</w:t>
      </w:r>
    </w:p>
    <w:p w14:paraId="09321942" w14:textId="77777777" w:rsidR="003469A2" w:rsidRPr="00E45DEF" w:rsidRDefault="003469A2" w:rsidP="003469A2">
      <w:pPr>
        <w:spacing w:after="0" w:line="240" w:lineRule="auto"/>
        <w:jc w:val="both"/>
        <w:rPr>
          <w:rFonts w:ascii="Times New Roman" w:eastAsia="Times New Roman" w:hAnsi="Times New Roman" w:cs="Times New Roman"/>
          <w:color w:val="FF0000"/>
          <w:sz w:val="24"/>
          <w:szCs w:val="24"/>
          <w:highlight w:val="green"/>
          <w:lang w:eastAsia="es-CO"/>
        </w:rPr>
      </w:pPr>
      <w:r w:rsidRPr="00E45DEF">
        <w:rPr>
          <w:rFonts w:ascii="Times New Roman" w:eastAsia="Times New Roman" w:hAnsi="Times New Roman" w:cs="Times New Roman"/>
          <w:color w:val="FF0000"/>
          <w:sz w:val="24"/>
          <w:szCs w:val="24"/>
          <w:highlight w:val="green"/>
          <w:lang w:eastAsia="es-CO"/>
        </w:rPr>
        <w:t>Bogotá, D.C. </w:t>
      </w:r>
    </w:p>
    <w:p w14:paraId="61FFAF73" w14:textId="77777777" w:rsidR="003469A2" w:rsidRPr="00E45DEF" w:rsidRDefault="003469A2" w:rsidP="003469A2">
      <w:pPr>
        <w:spacing w:after="0" w:line="240" w:lineRule="auto"/>
        <w:jc w:val="both"/>
        <w:rPr>
          <w:rFonts w:ascii="Times New Roman" w:eastAsia="Times New Roman" w:hAnsi="Times New Roman" w:cs="Times New Roman"/>
          <w:color w:val="FF0000"/>
          <w:sz w:val="24"/>
          <w:szCs w:val="24"/>
          <w:highlight w:val="green"/>
          <w:lang w:eastAsia="es-CO"/>
        </w:rPr>
      </w:pPr>
      <w:r w:rsidRPr="00E45DEF">
        <w:rPr>
          <w:rFonts w:ascii="Times New Roman" w:eastAsia="Times New Roman" w:hAnsi="Times New Roman" w:cs="Times New Roman"/>
          <w:color w:val="FF0000"/>
          <w:sz w:val="24"/>
          <w:szCs w:val="24"/>
          <w:highlight w:val="green"/>
          <w:lang w:eastAsia="es-CO"/>
        </w:rPr>
        <w:t>100208221– 002006</w:t>
      </w:r>
    </w:p>
    <w:p w14:paraId="28FAAAA4" w14:textId="77777777" w:rsidR="003469A2" w:rsidRPr="00E45DEF" w:rsidRDefault="003469A2" w:rsidP="003469A2">
      <w:pPr>
        <w:spacing w:after="0" w:line="240" w:lineRule="auto"/>
        <w:jc w:val="both"/>
        <w:rPr>
          <w:rFonts w:ascii="Times New Roman" w:eastAsia="Times New Roman" w:hAnsi="Times New Roman" w:cs="Times New Roman"/>
          <w:color w:val="FF0000"/>
          <w:sz w:val="24"/>
          <w:szCs w:val="24"/>
          <w:highlight w:val="green"/>
          <w:lang w:eastAsia="es-CO"/>
        </w:rPr>
      </w:pPr>
      <w:r w:rsidRPr="00E45DEF">
        <w:rPr>
          <w:rFonts w:ascii="Times New Roman" w:eastAsia="Times New Roman" w:hAnsi="Times New Roman" w:cs="Times New Roman"/>
          <w:color w:val="FF0000"/>
          <w:sz w:val="24"/>
          <w:szCs w:val="24"/>
          <w:highlight w:val="green"/>
          <w:lang w:eastAsia="es-CO"/>
        </w:rPr>
        <w:t> </w:t>
      </w:r>
    </w:p>
    <w:p w14:paraId="33712394" w14:textId="77777777" w:rsidR="003469A2" w:rsidRPr="00E45DEF" w:rsidRDefault="003469A2" w:rsidP="003469A2">
      <w:pPr>
        <w:spacing w:after="0" w:line="240" w:lineRule="auto"/>
        <w:jc w:val="both"/>
        <w:rPr>
          <w:rFonts w:ascii="Times New Roman" w:eastAsia="Times New Roman" w:hAnsi="Times New Roman" w:cs="Times New Roman"/>
          <w:color w:val="FF0000"/>
          <w:sz w:val="24"/>
          <w:szCs w:val="24"/>
          <w:highlight w:val="green"/>
          <w:lang w:eastAsia="es-CO"/>
        </w:rPr>
      </w:pPr>
      <w:proofErr w:type="spellStart"/>
      <w:r w:rsidRPr="00E45DEF">
        <w:rPr>
          <w:rFonts w:ascii="Times New Roman" w:eastAsia="Times New Roman" w:hAnsi="Times New Roman" w:cs="Times New Roman"/>
          <w:b/>
          <w:bCs/>
          <w:color w:val="FF0000"/>
          <w:sz w:val="24"/>
          <w:szCs w:val="24"/>
          <w:highlight w:val="green"/>
          <w:lang w:eastAsia="es-CO"/>
        </w:rPr>
        <w:t>Ref</w:t>
      </w:r>
      <w:proofErr w:type="spellEnd"/>
      <w:r w:rsidRPr="00E45DEF">
        <w:rPr>
          <w:rFonts w:ascii="Times New Roman" w:eastAsia="Times New Roman" w:hAnsi="Times New Roman" w:cs="Times New Roman"/>
          <w:b/>
          <w:bCs/>
          <w:color w:val="FF0000"/>
          <w:sz w:val="24"/>
          <w:szCs w:val="24"/>
          <w:highlight w:val="green"/>
          <w:lang w:eastAsia="es-CO"/>
        </w:rPr>
        <w:t>:</w:t>
      </w:r>
      <w:r w:rsidRPr="00E45DEF">
        <w:rPr>
          <w:rFonts w:ascii="Times New Roman" w:eastAsia="Times New Roman" w:hAnsi="Times New Roman" w:cs="Times New Roman"/>
          <w:color w:val="FF0000"/>
          <w:sz w:val="24"/>
          <w:szCs w:val="24"/>
          <w:highlight w:val="green"/>
          <w:lang w:eastAsia="es-CO"/>
        </w:rPr>
        <w:t> Radicado 902768 del 29/07/2019</w:t>
      </w:r>
    </w:p>
    <w:p w14:paraId="166EC1FB" w14:textId="77777777" w:rsidR="003469A2" w:rsidRPr="00E45DEF" w:rsidRDefault="003469A2" w:rsidP="003469A2">
      <w:pPr>
        <w:spacing w:after="0" w:line="240" w:lineRule="auto"/>
        <w:jc w:val="both"/>
        <w:rPr>
          <w:rFonts w:ascii="Times New Roman" w:eastAsia="Times New Roman" w:hAnsi="Times New Roman" w:cs="Times New Roman"/>
          <w:color w:val="FF0000"/>
          <w:sz w:val="24"/>
          <w:szCs w:val="24"/>
          <w:highlight w:val="green"/>
          <w:lang w:eastAsia="es-CO"/>
        </w:rPr>
      </w:pPr>
      <w:r w:rsidRPr="00E45DEF">
        <w:rPr>
          <w:rFonts w:ascii="Times New Roman" w:eastAsia="Times New Roman" w:hAnsi="Times New Roman" w:cs="Times New Roman"/>
          <w:color w:val="FF0000"/>
          <w:sz w:val="24"/>
          <w:szCs w:val="24"/>
          <w:highlight w:val="green"/>
          <w:lang w:eastAsia="es-CO"/>
        </w:rPr>
        <w:t> </w:t>
      </w:r>
    </w:p>
    <w:p w14:paraId="32146C29" w14:textId="77777777" w:rsidR="003469A2" w:rsidRPr="00E45DEF" w:rsidRDefault="003469A2" w:rsidP="003469A2">
      <w:pPr>
        <w:spacing w:after="0" w:line="240" w:lineRule="auto"/>
        <w:jc w:val="both"/>
        <w:rPr>
          <w:rFonts w:ascii="Times New Roman" w:eastAsia="Times New Roman" w:hAnsi="Times New Roman" w:cs="Times New Roman"/>
          <w:color w:val="FF0000"/>
          <w:sz w:val="24"/>
          <w:szCs w:val="24"/>
          <w:highlight w:val="green"/>
          <w:lang w:eastAsia="es-CO"/>
        </w:rPr>
      </w:pPr>
      <w:r w:rsidRPr="00E45DEF">
        <w:rPr>
          <w:rFonts w:ascii="Times New Roman" w:eastAsia="Times New Roman" w:hAnsi="Times New Roman" w:cs="Times New Roman"/>
          <w:b/>
          <w:bCs/>
          <w:color w:val="FF0000"/>
          <w:sz w:val="24"/>
          <w:szCs w:val="24"/>
          <w:highlight w:val="green"/>
          <w:lang w:eastAsia="es-CO"/>
        </w:rPr>
        <w:t>Tema</w:t>
      </w:r>
      <w:r w:rsidRPr="00E45DEF">
        <w:rPr>
          <w:rFonts w:ascii="Times New Roman" w:eastAsia="Times New Roman" w:hAnsi="Times New Roman" w:cs="Times New Roman"/>
          <w:color w:val="FF0000"/>
          <w:sz w:val="24"/>
          <w:szCs w:val="24"/>
          <w:highlight w:val="green"/>
          <w:lang w:eastAsia="es-CO"/>
        </w:rPr>
        <w:t> Impuesto sobre la Renta y Complementarios</w:t>
      </w:r>
    </w:p>
    <w:p w14:paraId="548640A7" w14:textId="77777777" w:rsidR="003469A2" w:rsidRPr="00E45DEF" w:rsidRDefault="003469A2" w:rsidP="003469A2">
      <w:pPr>
        <w:spacing w:after="0" w:line="240" w:lineRule="auto"/>
        <w:jc w:val="both"/>
        <w:rPr>
          <w:rFonts w:ascii="Times New Roman" w:eastAsia="Times New Roman" w:hAnsi="Times New Roman" w:cs="Times New Roman"/>
          <w:color w:val="FF0000"/>
          <w:sz w:val="24"/>
          <w:szCs w:val="24"/>
          <w:highlight w:val="green"/>
          <w:lang w:eastAsia="es-CO"/>
        </w:rPr>
      </w:pPr>
      <w:r w:rsidRPr="00E45DEF">
        <w:rPr>
          <w:rFonts w:ascii="Times New Roman" w:eastAsia="Times New Roman" w:hAnsi="Times New Roman" w:cs="Times New Roman"/>
          <w:b/>
          <w:bCs/>
          <w:color w:val="FF0000"/>
          <w:sz w:val="24"/>
          <w:szCs w:val="24"/>
          <w:highlight w:val="green"/>
          <w:lang w:eastAsia="es-CO"/>
        </w:rPr>
        <w:t>Descriptores</w:t>
      </w:r>
      <w:r w:rsidRPr="00E45DEF">
        <w:rPr>
          <w:rFonts w:ascii="Times New Roman" w:eastAsia="Times New Roman" w:hAnsi="Times New Roman" w:cs="Times New Roman"/>
          <w:color w:val="FF0000"/>
          <w:sz w:val="24"/>
          <w:szCs w:val="24"/>
          <w:highlight w:val="green"/>
          <w:lang w:eastAsia="es-CO"/>
        </w:rPr>
        <w:t> NO RESIDENTES</w:t>
      </w:r>
    </w:p>
    <w:p w14:paraId="3D6B25C1" w14:textId="77777777" w:rsidR="003469A2" w:rsidRPr="00E45DEF" w:rsidRDefault="003469A2" w:rsidP="003469A2">
      <w:pPr>
        <w:spacing w:after="0" w:line="240" w:lineRule="auto"/>
        <w:jc w:val="both"/>
        <w:rPr>
          <w:rFonts w:ascii="Times New Roman" w:eastAsia="Times New Roman" w:hAnsi="Times New Roman" w:cs="Times New Roman"/>
          <w:color w:val="FF0000"/>
          <w:sz w:val="24"/>
          <w:szCs w:val="24"/>
          <w:lang w:eastAsia="es-CO"/>
        </w:rPr>
      </w:pPr>
      <w:r w:rsidRPr="00E45DEF">
        <w:rPr>
          <w:rFonts w:ascii="Times New Roman" w:eastAsia="Times New Roman" w:hAnsi="Times New Roman" w:cs="Times New Roman"/>
          <w:b/>
          <w:bCs/>
          <w:color w:val="FF0000"/>
          <w:sz w:val="24"/>
          <w:szCs w:val="24"/>
          <w:highlight w:val="green"/>
          <w:lang w:eastAsia="es-CO"/>
        </w:rPr>
        <w:t>Fuentes formales</w:t>
      </w:r>
      <w:r w:rsidRPr="00E45DEF">
        <w:rPr>
          <w:rFonts w:ascii="Times New Roman" w:eastAsia="Times New Roman" w:hAnsi="Times New Roman" w:cs="Times New Roman"/>
          <w:color w:val="FF0000"/>
          <w:sz w:val="24"/>
          <w:szCs w:val="24"/>
          <w:highlight w:val="green"/>
          <w:lang w:eastAsia="es-CO"/>
        </w:rPr>
        <w:t> Estatuto Tributario arts.</w:t>
      </w:r>
      <w:hyperlink r:id="rId4" w:tooltip="Estatuto Tributario CETA" w:history="1">
        <w:r w:rsidRPr="00E45DEF">
          <w:rPr>
            <w:rFonts w:ascii="Times New Roman" w:eastAsia="Times New Roman" w:hAnsi="Times New Roman" w:cs="Times New Roman"/>
            <w:color w:val="FF0000"/>
            <w:sz w:val="24"/>
            <w:szCs w:val="24"/>
            <w:highlight w:val="green"/>
            <w:lang w:eastAsia="es-CO"/>
          </w:rPr>
          <w:t>9</w:t>
        </w:r>
      </w:hyperlink>
      <w:r w:rsidRPr="00E45DEF">
        <w:rPr>
          <w:rFonts w:ascii="Times New Roman" w:eastAsia="Times New Roman" w:hAnsi="Times New Roman" w:cs="Times New Roman"/>
          <w:color w:val="FF0000"/>
          <w:sz w:val="24"/>
          <w:szCs w:val="24"/>
          <w:highlight w:val="green"/>
          <w:lang w:eastAsia="es-CO"/>
        </w:rPr>
        <w:t>,</w:t>
      </w:r>
      <w:hyperlink r:id="rId5" w:tooltip="Estatuto Tributario CETA" w:history="1">
        <w:r w:rsidRPr="00E45DEF">
          <w:rPr>
            <w:rFonts w:ascii="Times New Roman" w:eastAsia="Times New Roman" w:hAnsi="Times New Roman" w:cs="Times New Roman"/>
            <w:color w:val="FF0000"/>
            <w:sz w:val="24"/>
            <w:szCs w:val="24"/>
            <w:highlight w:val="green"/>
            <w:lang w:eastAsia="es-CO"/>
          </w:rPr>
          <w:t>10</w:t>
        </w:r>
      </w:hyperlink>
      <w:r w:rsidRPr="00E45DEF">
        <w:rPr>
          <w:rFonts w:ascii="Times New Roman" w:eastAsia="Times New Roman" w:hAnsi="Times New Roman" w:cs="Times New Roman"/>
          <w:color w:val="FF0000"/>
          <w:sz w:val="24"/>
          <w:szCs w:val="24"/>
          <w:highlight w:val="green"/>
          <w:lang w:eastAsia="es-CO"/>
        </w:rPr>
        <w:t>,</w:t>
      </w:r>
      <w:hyperlink r:id="rId6" w:tooltip="Estatuto Tributario CETA" w:history="1">
        <w:r w:rsidRPr="00E45DEF">
          <w:rPr>
            <w:rFonts w:ascii="Times New Roman" w:eastAsia="Times New Roman" w:hAnsi="Times New Roman" w:cs="Times New Roman"/>
            <w:color w:val="FF0000"/>
            <w:sz w:val="24"/>
            <w:szCs w:val="24"/>
            <w:highlight w:val="green"/>
            <w:lang w:eastAsia="es-CO"/>
          </w:rPr>
          <w:t>24</w:t>
        </w:r>
      </w:hyperlink>
    </w:p>
    <w:p w14:paraId="529423D8"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1830014B"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04AE5C56"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30190AA9"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4BBAD0CF"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58E95FC0"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0C0B3EB1"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2670BC08"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4DEA4D6E"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En el contexto señalado se atenderá la presente consulta.</w:t>
      </w:r>
    </w:p>
    <w:p w14:paraId="30A95C97"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6C51C859"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xml:space="preserve">Expresa que una persona natural no residente en Colombia para efectos tributarios ingresa al país una suma equivalente a $182.000.000. La persona es residente en los Estados Unidos de Norteamérica, país origen del dinero. En este contexto pregunta si tiene efecto en materia del impuesto sobre la renta. Y </w:t>
      </w:r>
      <w:proofErr w:type="spellStart"/>
      <w:r w:rsidRPr="003469A2">
        <w:rPr>
          <w:rFonts w:ascii="Times New Roman" w:eastAsia="Times New Roman" w:hAnsi="Times New Roman" w:cs="Times New Roman"/>
          <w:sz w:val="24"/>
          <w:szCs w:val="24"/>
          <w:lang w:eastAsia="es-CO"/>
        </w:rPr>
        <w:t>cuales</w:t>
      </w:r>
      <w:proofErr w:type="spellEnd"/>
      <w:r w:rsidRPr="003469A2">
        <w:rPr>
          <w:rFonts w:ascii="Times New Roman" w:eastAsia="Times New Roman" w:hAnsi="Times New Roman" w:cs="Times New Roman"/>
          <w:sz w:val="24"/>
          <w:szCs w:val="24"/>
          <w:lang w:eastAsia="es-CO"/>
        </w:rPr>
        <w:t xml:space="preserve"> son los documentos que deben sustentar la legalidad de este dinero.</w:t>
      </w:r>
    </w:p>
    <w:p w14:paraId="187FE0B7"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7CDC92FC"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Para responder a su pregunta, en primer lugar, se hará referencia a las disposiciones que en materia del impuesto sobre la renta aplican para los residentes y no residentes en el territorio nacional. Para efectos del impuesto sobre la renta y la tributación de las personas naturales el criterio a tener en cuenta es la </w:t>
      </w:r>
      <w:r w:rsidRPr="003469A2">
        <w:rPr>
          <w:rFonts w:ascii="Times New Roman" w:eastAsia="Times New Roman" w:hAnsi="Times New Roman" w:cs="Times New Roman"/>
          <w:i/>
          <w:iCs/>
          <w:sz w:val="24"/>
          <w:szCs w:val="24"/>
          <w:lang w:eastAsia="es-CO"/>
        </w:rPr>
        <w:t>Residencia</w:t>
      </w:r>
      <w:r w:rsidRPr="003469A2">
        <w:rPr>
          <w:rFonts w:ascii="Times New Roman" w:eastAsia="Times New Roman" w:hAnsi="Times New Roman" w:cs="Times New Roman"/>
          <w:sz w:val="24"/>
          <w:szCs w:val="24"/>
          <w:lang w:eastAsia="es-CO"/>
        </w:rPr>
        <w:t>. Por otro lado, partimos de la base que la traída de los recursos al territorio colombiano cumplió con todas las obligaciones cambiarias.</w:t>
      </w:r>
    </w:p>
    <w:p w14:paraId="34FFCAD4"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5414F577"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En este sentido el </w:t>
      </w:r>
      <w:hyperlink r:id="rId7" w:tooltip="Estatuto Tributario CETA" w:history="1">
        <w:r w:rsidRPr="003469A2">
          <w:rPr>
            <w:rFonts w:ascii="Times New Roman" w:eastAsia="Times New Roman" w:hAnsi="Times New Roman" w:cs="Times New Roman"/>
            <w:sz w:val="24"/>
            <w:szCs w:val="24"/>
            <w:lang w:eastAsia="es-CO"/>
          </w:rPr>
          <w:t>artículo 9</w:t>
        </w:r>
      </w:hyperlink>
      <w:r w:rsidRPr="003469A2">
        <w:rPr>
          <w:rFonts w:ascii="Times New Roman" w:eastAsia="Times New Roman" w:hAnsi="Times New Roman" w:cs="Times New Roman"/>
          <w:sz w:val="24"/>
          <w:szCs w:val="24"/>
          <w:lang w:eastAsia="es-CO"/>
        </w:rPr>
        <w:t> del Estatuto Tributario claramente señala:</w:t>
      </w:r>
    </w:p>
    <w:p w14:paraId="4319B6E3"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4C8A0871"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i/>
          <w:iCs/>
          <w:sz w:val="24"/>
          <w:szCs w:val="24"/>
          <w:lang w:eastAsia="es-CO"/>
        </w:rPr>
        <w:lastRenderedPageBreak/>
        <w:t>"</w:t>
      </w:r>
      <w:hyperlink r:id="rId8" w:tooltip="Estatuto Tributario CETA" w:history="1">
        <w:r w:rsidRPr="003469A2">
          <w:rPr>
            <w:rFonts w:ascii="Times New Roman" w:eastAsia="Times New Roman" w:hAnsi="Times New Roman" w:cs="Times New Roman"/>
            <w:b/>
            <w:bCs/>
            <w:i/>
            <w:iCs/>
            <w:sz w:val="24"/>
            <w:szCs w:val="24"/>
            <w:lang w:eastAsia="es-CO"/>
          </w:rPr>
          <w:t>ARTÍCULO 9o</w:t>
        </w:r>
      </w:hyperlink>
      <w:r w:rsidRPr="003469A2">
        <w:rPr>
          <w:rFonts w:ascii="Times New Roman" w:eastAsia="Times New Roman" w:hAnsi="Times New Roman" w:cs="Times New Roman"/>
          <w:b/>
          <w:bCs/>
          <w:i/>
          <w:iCs/>
          <w:sz w:val="24"/>
          <w:szCs w:val="24"/>
          <w:lang w:eastAsia="es-CO"/>
        </w:rPr>
        <w:t>. IMPUESTO DE LAS PERSONAS NATURALES, RESIDENTES Y NO RESIDENTES</w:t>
      </w:r>
      <w:r w:rsidRPr="003469A2">
        <w:rPr>
          <w:rFonts w:ascii="Times New Roman" w:eastAsia="Times New Roman" w:hAnsi="Times New Roman" w:cs="Times New Roman"/>
          <w:i/>
          <w:iCs/>
          <w:sz w:val="24"/>
          <w:szCs w:val="24"/>
          <w:lang w:eastAsia="es-CO"/>
        </w:rPr>
        <w:t>.</w:t>
      </w:r>
    </w:p>
    <w:p w14:paraId="6672B90E"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w:t>
      </w:r>
    </w:p>
    <w:p w14:paraId="5A323E67"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5490D9F9"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Las personas naturales, nacionales o extranjeras, que no tengan residencia en el país y las sucesiones ilíquidas de causantes sin residencia en el país en el momento de su muerte, solo están sujetas al impuesto sobre la renta y complementarios respecto a sus rentas y ganancias ocasionales de fuente nacional y respecto de su patrimonio* poseído en el país.</w:t>
      </w:r>
    </w:p>
    <w:p w14:paraId="5406F627"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w:t>
      </w:r>
    </w:p>
    <w:p w14:paraId="2A1E2810"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61F3A4E2"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Como ya se ha expresado anteriormente:</w:t>
      </w:r>
    </w:p>
    <w:p w14:paraId="5B095F58"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119BACBB"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Esta norma distingue el tratamiento para efectos del impuesto de renta según se trate de personas naturales, bien sea nacionales o extranjeras, que sean residentes en el país y las personas naturales, bien sean nacionales o extranjeras, sin residencia en el país. Es decir, </w:t>
      </w:r>
      <w:r w:rsidRPr="003469A2">
        <w:rPr>
          <w:rFonts w:ascii="Times New Roman" w:eastAsia="Times New Roman" w:hAnsi="Times New Roman" w:cs="Times New Roman"/>
          <w:b/>
          <w:bCs/>
          <w:i/>
          <w:iCs/>
          <w:sz w:val="24"/>
          <w:szCs w:val="24"/>
          <w:lang w:eastAsia="es-CO"/>
        </w:rPr>
        <w:t>el criterio es la residencia y no la nacionalidad</w:t>
      </w:r>
      <w:r w:rsidRPr="003469A2">
        <w:rPr>
          <w:rFonts w:ascii="Times New Roman" w:eastAsia="Times New Roman" w:hAnsi="Times New Roman" w:cs="Times New Roman"/>
          <w:i/>
          <w:iCs/>
          <w:sz w:val="24"/>
          <w:szCs w:val="24"/>
          <w:lang w:eastAsia="es-CO"/>
        </w:rPr>
        <w:t>.</w:t>
      </w:r>
    </w:p>
    <w:p w14:paraId="1C3E3BC8"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1A8823D4"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Para las primeras, esto es, para las personas naturales </w:t>
      </w:r>
      <w:r w:rsidRPr="003469A2">
        <w:rPr>
          <w:rFonts w:ascii="Times New Roman" w:eastAsia="Times New Roman" w:hAnsi="Times New Roman" w:cs="Times New Roman"/>
          <w:b/>
          <w:bCs/>
          <w:i/>
          <w:iCs/>
          <w:sz w:val="24"/>
          <w:szCs w:val="24"/>
          <w:lang w:eastAsia="es-CO"/>
        </w:rPr>
        <w:t>residentes (independientemente que sean nacionales o extranjeras)</w:t>
      </w:r>
      <w:r w:rsidRPr="003469A2">
        <w:rPr>
          <w:rFonts w:ascii="Times New Roman" w:eastAsia="Times New Roman" w:hAnsi="Times New Roman" w:cs="Times New Roman"/>
          <w:i/>
          <w:iCs/>
          <w:sz w:val="24"/>
          <w:szCs w:val="24"/>
          <w:lang w:eastAsia="es-CO"/>
        </w:rPr>
        <w:t> la norma establece la sujeción del impuesto sobre la renta en lo concerniente a sus rentas y ganancias ocasionales, tanto de fuente nacional como de fuente extranjera y a su patrimonio poseído dentro o fuera del país. </w:t>
      </w:r>
      <w:r w:rsidRPr="003469A2">
        <w:rPr>
          <w:rFonts w:ascii="Times New Roman" w:eastAsia="Times New Roman" w:hAnsi="Times New Roman" w:cs="Times New Roman"/>
          <w:b/>
          <w:bCs/>
          <w:i/>
          <w:iCs/>
          <w:sz w:val="24"/>
          <w:szCs w:val="24"/>
          <w:lang w:eastAsia="es-CO"/>
        </w:rPr>
        <w:t>Los criterios para establecer la residencia se encuentran señalado en el </w:t>
      </w:r>
      <w:hyperlink r:id="rId9" w:tooltip="Estatuto Tributario CETA" w:history="1">
        <w:r w:rsidRPr="003469A2">
          <w:rPr>
            <w:rFonts w:ascii="Times New Roman" w:eastAsia="Times New Roman" w:hAnsi="Times New Roman" w:cs="Times New Roman"/>
            <w:b/>
            <w:bCs/>
            <w:i/>
            <w:iCs/>
            <w:sz w:val="24"/>
            <w:szCs w:val="24"/>
            <w:lang w:eastAsia="es-CO"/>
          </w:rPr>
          <w:t>artículo 10</w:t>
        </w:r>
      </w:hyperlink>
      <w:r w:rsidRPr="003469A2">
        <w:rPr>
          <w:rFonts w:ascii="Times New Roman" w:eastAsia="Times New Roman" w:hAnsi="Times New Roman" w:cs="Times New Roman"/>
          <w:b/>
          <w:bCs/>
          <w:i/>
          <w:iCs/>
          <w:sz w:val="24"/>
          <w:szCs w:val="24"/>
          <w:lang w:eastAsia="es-CO"/>
        </w:rPr>
        <w:t> del mismo Estatuto.</w:t>
      </w:r>
    </w:p>
    <w:p w14:paraId="73D32A05"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06FFEFE4"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u w:val="single"/>
          <w:lang w:eastAsia="es-CO"/>
        </w:rPr>
        <w:t>Para el caso de los no residentes en Colombia</w:t>
      </w:r>
      <w:r w:rsidRPr="003469A2">
        <w:rPr>
          <w:rFonts w:ascii="Times New Roman" w:eastAsia="Times New Roman" w:hAnsi="Times New Roman" w:cs="Times New Roman"/>
          <w:i/>
          <w:iCs/>
          <w:sz w:val="24"/>
          <w:szCs w:val="24"/>
          <w:lang w:eastAsia="es-CO"/>
        </w:rPr>
        <w:t>, es decir personas naturales, independientemente que sean nacionales o extranjeras, residentes en el exterior, se indica que están sujetas al impuesto de renta </w:t>
      </w:r>
      <w:r w:rsidRPr="003469A2">
        <w:rPr>
          <w:rFonts w:ascii="Times New Roman" w:eastAsia="Times New Roman" w:hAnsi="Times New Roman" w:cs="Times New Roman"/>
          <w:b/>
          <w:bCs/>
          <w:i/>
          <w:iCs/>
          <w:sz w:val="24"/>
          <w:szCs w:val="24"/>
          <w:lang w:eastAsia="es-CO"/>
        </w:rPr>
        <w:t>solamente sobre sus rentas y ganancias ocasionales de fuente nacional </w:t>
      </w:r>
      <w:r w:rsidRPr="003469A2">
        <w:rPr>
          <w:rFonts w:ascii="Times New Roman" w:eastAsia="Times New Roman" w:hAnsi="Times New Roman" w:cs="Times New Roman"/>
          <w:b/>
          <w:bCs/>
          <w:i/>
          <w:iCs/>
          <w:sz w:val="24"/>
          <w:szCs w:val="24"/>
          <w:u w:val="single"/>
          <w:lang w:eastAsia="es-CO"/>
        </w:rPr>
        <w:t>y respecto de su patrimonio poseído en el país</w:t>
      </w:r>
      <w:r w:rsidRPr="003469A2">
        <w:rPr>
          <w:rFonts w:ascii="Times New Roman" w:eastAsia="Times New Roman" w:hAnsi="Times New Roman" w:cs="Times New Roman"/>
          <w:b/>
          <w:bCs/>
          <w:i/>
          <w:iCs/>
          <w:sz w:val="24"/>
          <w:szCs w:val="24"/>
          <w:lang w:eastAsia="es-CO"/>
        </w:rPr>
        <w:t>.</w:t>
      </w:r>
    </w:p>
    <w:p w14:paraId="23A2AADD"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32819A22"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Por su parte, el </w:t>
      </w:r>
      <w:hyperlink r:id="rId10" w:tooltip="Estatuto Tributario CETA" w:history="1">
        <w:r w:rsidRPr="003469A2">
          <w:rPr>
            <w:rFonts w:ascii="Times New Roman" w:eastAsia="Times New Roman" w:hAnsi="Times New Roman" w:cs="Times New Roman"/>
            <w:i/>
            <w:iCs/>
            <w:sz w:val="24"/>
            <w:szCs w:val="24"/>
            <w:lang w:eastAsia="es-CO"/>
          </w:rPr>
          <w:t>artículo 24</w:t>
        </w:r>
      </w:hyperlink>
      <w:r w:rsidRPr="003469A2">
        <w:rPr>
          <w:rFonts w:ascii="Times New Roman" w:eastAsia="Times New Roman" w:hAnsi="Times New Roman" w:cs="Times New Roman"/>
          <w:i/>
          <w:iCs/>
          <w:sz w:val="24"/>
          <w:szCs w:val="24"/>
          <w:lang w:eastAsia="es-CO"/>
        </w:rPr>
        <w:t> del Estatuto Tributario señala los ingresos que se consideran de fuente nacional. De manera que la persona natural (nacional o extranjera) no residente que obtenga ingresos como los allí relacionados, está gravada con el impuesto de renta en Colombia." Oficio No. </w:t>
      </w:r>
      <w:r w:rsidRPr="003469A2">
        <w:rPr>
          <w:rFonts w:ascii="Times New Roman" w:eastAsia="Times New Roman" w:hAnsi="Times New Roman" w:cs="Times New Roman"/>
          <w:sz w:val="24"/>
          <w:szCs w:val="24"/>
          <w:lang w:eastAsia="es-CO"/>
        </w:rPr>
        <w:t>016045 de 20 junio de 2018</w:t>
      </w:r>
    </w:p>
    <w:p w14:paraId="3102C685"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5286B0AF"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Así entonces para efectos de determinar si la persona natural es residente o no en el territorio nacional deberá remitirse al </w:t>
      </w:r>
      <w:hyperlink r:id="rId11" w:tooltip="Estatuto Tributario CETA" w:history="1">
        <w:r w:rsidRPr="003469A2">
          <w:rPr>
            <w:rFonts w:ascii="Times New Roman" w:eastAsia="Times New Roman" w:hAnsi="Times New Roman" w:cs="Times New Roman"/>
            <w:sz w:val="24"/>
            <w:szCs w:val="24"/>
            <w:lang w:eastAsia="es-CO"/>
          </w:rPr>
          <w:t>artículo 10</w:t>
        </w:r>
      </w:hyperlink>
      <w:r w:rsidRPr="003469A2">
        <w:rPr>
          <w:rFonts w:ascii="Times New Roman" w:eastAsia="Times New Roman" w:hAnsi="Times New Roman" w:cs="Times New Roman"/>
          <w:sz w:val="24"/>
          <w:szCs w:val="24"/>
          <w:lang w:eastAsia="es-CO"/>
        </w:rPr>
        <w:t> ya mencionado:</w:t>
      </w:r>
    </w:p>
    <w:p w14:paraId="143517A6"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53D8E843"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i/>
          <w:iCs/>
          <w:sz w:val="24"/>
          <w:szCs w:val="24"/>
          <w:lang w:eastAsia="es-CO"/>
        </w:rPr>
        <w:t>"</w:t>
      </w:r>
      <w:hyperlink r:id="rId12" w:tooltip="Estatuto Tributario CETA" w:history="1">
        <w:r w:rsidRPr="003469A2">
          <w:rPr>
            <w:rFonts w:ascii="Times New Roman" w:eastAsia="Times New Roman" w:hAnsi="Times New Roman" w:cs="Times New Roman"/>
            <w:b/>
            <w:bCs/>
            <w:i/>
            <w:iCs/>
            <w:sz w:val="24"/>
            <w:szCs w:val="24"/>
            <w:lang w:eastAsia="es-CO"/>
          </w:rPr>
          <w:t>ARTÍCULO 10</w:t>
        </w:r>
      </w:hyperlink>
      <w:r w:rsidRPr="003469A2">
        <w:rPr>
          <w:rFonts w:ascii="Times New Roman" w:eastAsia="Times New Roman" w:hAnsi="Times New Roman" w:cs="Times New Roman"/>
          <w:b/>
          <w:bCs/>
          <w:i/>
          <w:iCs/>
          <w:sz w:val="24"/>
          <w:szCs w:val="24"/>
          <w:lang w:eastAsia="es-CO"/>
        </w:rPr>
        <w:t>. RESIDENCIA PARA EFECTOS TRIBUTARIOS</w:t>
      </w:r>
      <w:r w:rsidRPr="003469A2">
        <w:rPr>
          <w:rFonts w:ascii="Times New Roman" w:eastAsia="Times New Roman" w:hAnsi="Times New Roman" w:cs="Times New Roman"/>
          <w:i/>
          <w:iCs/>
          <w:sz w:val="24"/>
          <w:szCs w:val="24"/>
          <w:lang w:eastAsia="es-CO"/>
        </w:rPr>
        <w:t>.</w:t>
      </w:r>
    </w:p>
    <w:p w14:paraId="43532B94"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Se consideran residentes en Colombia para efectos tributados las personas naturales que cumplan con cualquiera de las siguientes condiciones:</w:t>
      </w:r>
    </w:p>
    <w:p w14:paraId="68BBB36A"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03DEE3DF"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xml:space="preserve">1. Permanecer continua o discontinuamente en el país por más de ciento ochenta y tres (183) días calendario incluyendo días de entrada y salida del país, durante un período cualquiera de trescientos sesenta y cinco (365) días calendario consecutivos, en el entendido que, </w:t>
      </w:r>
      <w:r w:rsidRPr="003469A2">
        <w:rPr>
          <w:rFonts w:ascii="Times New Roman" w:eastAsia="Times New Roman" w:hAnsi="Times New Roman" w:cs="Times New Roman"/>
          <w:i/>
          <w:iCs/>
          <w:sz w:val="24"/>
          <w:szCs w:val="24"/>
          <w:lang w:eastAsia="es-CO"/>
        </w:rPr>
        <w:lastRenderedPageBreak/>
        <w:t>cuando la permanencia continua o discontinua en el país recaiga sobre más de un año o período gravable, se considerará que la persona es residente a partir del segundo año o período gravable.</w:t>
      </w:r>
    </w:p>
    <w:p w14:paraId="18D886E1"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45BB274D"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2. Encontrarse, por su relación con el servicio exterior del Estado colombiano o con personas que se encuentran en el servicio exterior del Estado colombiano, y en virtud de las convenciones de Viena sobre relaciones diplomáticas y consulares, exentos de tributación en el país en el que se encuentran en misión respecto de toda o parte de sus rentas y ganancias ocasionales durante el respectivo año o período gravable.</w:t>
      </w:r>
    </w:p>
    <w:p w14:paraId="37DF8C57"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1617B781"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3. Ser nacionales y que durante el respectivo año o período gravable:</w:t>
      </w:r>
    </w:p>
    <w:p w14:paraId="26E797CC"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a) Su cónyuge o compañero permanente no separado legalmente o los hijos dependientes menores de edad, tengan residencia fiscal en el país; o,</w:t>
      </w:r>
    </w:p>
    <w:p w14:paraId="1DB72EF9"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b) El cincuenta por ciento (50%) o más de sus ingresos sean de fuente nacional; o,</w:t>
      </w:r>
    </w:p>
    <w:p w14:paraId="1791D356"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c) El cincuenta por ciento (50%) o más de sus bienes sean administrados en el país; o,</w:t>
      </w:r>
    </w:p>
    <w:p w14:paraId="50654BA7"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d) El cincuenta por ciento (50%) o más de sus activos se entiendan poseídos en el país; o.</w:t>
      </w:r>
    </w:p>
    <w:p w14:paraId="59143576"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e) Habiendo sido requeridos por la Administración Tributaria para ello, no acrediten su condición de residentes en el exterior para efectos tributarios; o,</w:t>
      </w:r>
    </w:p>
    <w:p w14:paraId="7753CA01"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f) Tengan residencia fiscal en una jurisdicción calificada por el Gobierno Nacional como paraíso fiscal.</w:t>
      </w:r>
    </w:p>
    <w:p w14:paraId="647975E8"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22AD34B4"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i/>
          <w:iCs/>
          <w:sz w:val="24"/>
          <w:szCs w:val="24"/>
          <w:lang w:eastAsia="es-CO"/>
        </w:rPr>
        <w:t>PARÁGRAFO.</w:t>
      </w:r>
      <w:r w:rsidRPr="003469A2">
        <w:rPr>
          <w:rFonts w:ascii="Times New Roman" w:eastAsia="Times New Roman" w:hAnsi="Times New Roman" w:cs="Times New Roman"/>
          <w:i/>
          <w:iCs/>
          <w:sz w:val="24"/>
          <w:szCs w:val="24"/>
          <w:lang w:eastAsia="es-CO"/>
        </w:rPr>
        <w:t> Las personas naturales nacionales que, de acuerdo con las disposiciones de este artículo acrediten su condición de residentes en el exterior para efectos tributarios, deberán hacerlo ante la Dirección de Impuestos y Aduanas Nacionales mediante certificado de residencia fiscal o documento que haga sus veces, expedido por el país o jurisdicción del cual se hayan convertido en residentes.</w:t>
      </w:r>
    </w:p>
    <w:p w14:paraId="69CB94AF"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4213FFBA"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i/>
          <w:iCs/>
          <w:sz w:val="24"/>
          <w:szCs w:val="24"/>
          <w:lang w:eastAsia="es-CO"/>
        </w:rPr>
        <w:t>PARÁGRAFO.</w:t>
      </w:r>
      <w:r w:rsidRPr="003469A2">
        <w:rPr>
          <w:rFonts w:ascii="Times New Roman" w:eastAsia="Times New Roman" w:hAnsi="Times New Roman" w:cs="Times New Roman"/>
          <w:i/>
          <w:iCs/>
          <w:sz w:val="24"/>
          <w:szCs w:val="24"/>
          <w:lang w:eastAsia="es-CO"/>
        </w:rPr>
        <w:t> &lt; No serán residentes fiscales, los nacionales que cumplan con alguno de los literales del numeral 3, pero que reúnan una de las siguientes condiciones:</w:t>
      </w:r>
    </w:p>
    <w:p w14:paraId="1446499B"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67827A46"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1. Que el cincuenta por ciento (50%) o más de sus ingresos anuales tengan su fuente en la jurisdicción en la cual tengan su domicilio.</w:t>
      </w:r>
    </w:p>
    <w:p w14:paraId="1399CDC3"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0E776EC3"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2. Que el cincuenta por ciento (50%) o más de sus activos se encuentren localizados en la jurisdicción en la cual tengan su domicilio.</w:t>
      </w:r>
    </w:p>
    <w:p w14:paraId="16E0D5CE"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 </w:t>
      </w:r>
    </w:p>
    <w:p w14:paraId="4A7704B2"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i/>
          <w:iCs/>
          <w:sz w:val="24"/>
          <w:szCs w:val="24"/>
          <w:lang w:eastAsia="es-CO"/>
        </w:rPr>
        <w:t>El Gobierno nacional determinará la forma en la que las personas a las que se refiere el presente parágrafo podrán acreditar lo aquí dispuesto."</w:t>
      </w:r>
    </w:p>
    <w:p w14:paraId="52FBF7BB"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275B9D52"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Si confrontada la anterior disposición, se concluye que la persona natural no es residente en el territorio nacional, deberá establecer si el dinero ingresado al país tiene o no su origen en Colombia. Para ello sugerimos consultar el </w:t>
      </w:r>
      <w:hyperlink r:id="rId13" w:tooltip="Estatuto Tributario CETA" w:history="1">
        <w:r w:rsidRPr="003469A2">
          <w:rPr>
            <w:rFonts w:ascii="Times New Roman" w:eastAsia="Times New Roman" w:hAnsi="Times New Roman" w:cs="Times New Roman"/>
            <w:sz w:val="24"/>
            <w:szCs w:val="24"/>
            <w:lang w:eastAsia="es-CO"/>
          </w:rPr>
          <w:t>artículo 24</w:t>
        </w:r>
      </w:hyperlink>
      <w:r w:rsidRPr="003469A2">
        <w:rPr>
          <w:rFonts w:ascii="Times New Roman" w:eastAsia="Times New Roman" w:hAnsi="Times New Roman" w:cs="Times New Roman"/>
          <w:sz w:val="24"/>
          <w:szCs w:val="24"/>
          <w:lang w:eastAsia="es-CO"/>
        </w:rPr>
        <w:t> del mismo texto, que relaciona cuales ingresos se consideran de fuente nacional.</w:t>
      </w:r>
    </w:p>
    <w:p w14:paraId="00AF2B35"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5B19509E"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xml:space="preserve">Ahora bien, si tales dineros no son de fuente nacional y la persona natural titular de los mismos no es residente para efectos fiscales, debe concluirse que los mismos no se </w:t>
      </w:r>
      <w:r w:rsidRPr="003469A2">
        <w:rPr>
          <w:rFonts w:ascii="Times New Roman" w:eastAsia="Times New Roman" w:hAnsi="Times New Roman" w:cs="Times New Roman"/>
          <w:sz w:val="24"/>
          <w:szCs w:val="24"/>
          <w:lang w:eastAsia="es-CO"/>
        </w:rPr>
        <w:lastRenderedPageBreak/>
        <w:t>encuentran sometidos al impuesto sobre la renta en Colombia en el año gravable de su ingreso.</w:t>
      </w:r>
    </w:p>
    <w:p w14:paraId="7536985C"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4A7FFA5B"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Diferente si la persona natural cumple las condiciones para ser considerada residente fiscal pues en este caso al tributar sobre sus rentas de fuente mundial, deberá tener en cuenta los ingresos obtenidos en el exterior.</w:t>
      </w:r>
    </w:p>
    <w:p w14:paraId="2AB4557E"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634093D8" w14:textId="77777777" w:rsidR="003469A2" w:rsidRPr="00E45DEF" w:rsidRDefault="003469A2" w:rsidP="003469A2">
      <w:pPr>
        <w:spacing w:after="0" w:line="240" w:lineRule="auto"/>
        <w:jc w:val="both"/>
        <w:rPr>
          <w:rFonts w:ascii="Times New Roman" w:eastAsia="Times New Roman" w:hAnsi="Times New Roman" w:cs="Times New Roman"/>
          <w:sz w:val="24"/>
          <w:szCs w:val="24"/>
          <w:highlight w:val="green"/>
          <w:lang w:eastAsia="es-CO"/>
        </w:rPr>
      </w:pPr>
      <w:r w:rsidRPr="00E45DEF">
        <w:rPr>
          <w:rFonts w:ascii="Times New Roman" w:eastAsia="Times New Roman" w:hAnsi="Times New Roman" w:cs="Times New Roman"/>
          <w:sz w:val="24"/>
          <w:szCs w:val="24"/>
          <w:highlight w:val="green"/>
          <w:lang w:eastAsia="es-CO"/>
        </w:rPr>
        <w:t>En conclusión, su situación tributaria dependerá del status de residente o no en el territorio nacional y por ende del origen del ingreso- análisis y conclusiones que corresponde efectuarlas al interesado considerando su situación particular.</w:t>
      </w:r>
    </w:p>
    <w:p w14:paraId="3F74B3D7" w14:textId="77777777" w:rsidR="003469A2" w:rsidRPr="00E45DEF" w:rsidRDefault="003469A2" w:rsidP="003469A2">
      <w:pPr>
        <w:spacing w:after="0" w:line="240" w:lineRule="auto"/>
        <w:jc w:val="both"/>
        <w:rPr>
          <w:rFonts w:ascii="Times New Roman" w:eastAsia="Times New Roman" w:hAnsi="Times New Roman" w:cs="Times New Roman"/>
          <w:sz w:val="24"/>
          <w:szCs w:val="24"/>
          <w:highlight w:val="green"/>
          <w:lang w:eastAsia="es-CO"/>
        </w:rPr>
      </w:pPr>
      <w:r w:rsidRPr="00E45DEF">
        <w:rPr>
          <w:rFonts w:ascii="Times New Roman" w:eastAsia="Times New Roman" w:hAnsi="Times New Roman" w:cs="Times New Roman"/>
          <w:sz w:val="24"/>
          <w:szCs w:val="24"/>
          <w:highlight w:val="green"/>
          <w:lang w:eastAsia="es-CO"/>
        </w:rPr>
        <w:t> </w:t>
      </w:r>
    </w:p>
    <w:p w14:paraId="7B2407EF"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E45DEF">
        <w:rPr>
          <w:rFonts w:ascii="Times New Roman" w:eastAsia="Times New Roman" w:hAnsi="Times New Roman" w:cs="Times New Roman"/>
          <w:sz w:val="24"/>
          <w:szCs w:val="24"/>
          <w:highlight w:val="green"/>
          <w:lang w:eastAsia="es-CO"/>
        </w:rPr>
        <w:t>Lo anterior sin perjuicio de que verbi gracia realice una inversión en el país, la cual deberá cumplir los requisitos previstos en la Resolución Externa 1 de 2018 del Banco de la República y posteriormente dará lugar a la modificación de la situación tributaria del inversionista.</w:t>
      </w:r>
    </w:p>
    <w:p w14:paraId="30514AF2"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bookmarkStart w:id="0" w:name="_GoBack"/>
      <w:bookmarkEnd w:id="0"/>
    </w:p>
    <w:p w14:paraId="39B4E7C7"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De otra parte, para efectos de las divisas o moneda legal colombiana que ingresó al país, debieron haberse cumplido las disposiciones de tipo cambiario, tales como los artículos 87, 88 y siguientes de la Resolución Externa No.1 de 2018 del Banco de la República. Además de lo anterior, deberán conservarse los documentos que den cuenta del origen de los dineros ingresados al país, los cuales no puede entrar a detallar taxativamente este despacho, pues estos dependerán del origen de tales sumas.</w:t>
      </w:r>
    </w:p>
    <w:p w14:paraId="6C2C8A2B"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03BD7B67"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Finamente para su conocimiento, se anexa copia del Concepto 027495 (interno 100202208-001364 de 7 de noviembre de 2018, en donde en el descriptor 3.1 se analiza cuando uno no residente en el territorio nacional esta exonerado de presentar la respectiva declaración de renta.</w:t>
      </w:r>
    </w:p>
    <w:p w14:paraId="1733C190"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37956C0F"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7A5F3E82"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Atentamente,</w:t>
      </w:r>
    </w:p>
    <w:p w14:paraId="32EDF0DF"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 </w:t>
      </w:r>
    </w:p>
    <w:p w14:paraId="6D3E675C"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sz w:val="24"/>
          <w:szCs w:val="24"/>
          <w:lang w:eastAsia="es-CO"/>
        </w:rPr>
        <w:t> </w:t>
      </w:r>
    </w:p>
    <w:p w14:paraId="0E103826"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sz w:val="24"/>
          <w:szCs w:val="24"/>
          <w:lang w:eastAsia="es-CO"/>
        </w:rPr>
        <w:t>LORENZO CASTILLO BARVO</w:t>
      </w:r>
    </w:p>
    <w:p w14:paraId="1F46C9DF"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Subdirector de Gestión Normativa y Doctrina (E)</w:t>
      </w:r>
    </w:p>
    <w:p w14:paraId="79BB2F19"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sz w:val="24"/>
          <w:szCs w:val="24"/>
          <w:lang w:eastAsia="es-CO"/>
        </w:rPr>
        <w:t>Dirección de Gestión Jurídica UAE-DIAN</w:t>
      </w:r>
    </w:p>
    <w:p w14:paraId="1D0AD00A" w14:textId="77777777" w:rsidR="003469A2" w:rsidRPr="003469A2" w:rsidRDefault="003469A2" w:rsidP="003469A2">
      <w:pPr>
        <w:spacing w:after="0" w:line="240" w:lineRule="auto"/>
        <w:jc w:val="both"/>
        <w:rPr>
          <w:rFonts w:ascii="Times New Roman" w:eastAsia="Times New Roman" w:hAnsi="Times New Roman" w:cs="Times New Roman"/>
          <w:sz w:val="24"/>
          <w:szCs w:val="24"/>
          <w:lang w:eastAsia="es-CO"/>
        </w:rPr>
      </w:pPr>
      <w:r w:rsidRPr="003469A2">
        <w:rPr>
          <w:rFonts w:ascii="Times New Roman" w:eastAsia="Times New Roman" w:hAnsi="Times New Roman" w:cs="Times New Roman"/>
          <w:b/>
          <w:bCs/>
          <w:sz w:val="24"/>
          <w:szCs w:val="24"/>
          <w:lang w:eastAsia="es-CO"/>
        </w:rPr>
        <w:t> </w:t>
      </w:r>
    </w:p>
    <w:sectPr w:rsidR="003469A2" w:rsidRPr="003469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A2"/>
    <w:rsid w:val="003469A2"/>
    <w:rsid w:val="00E45DEF"/>
    <w:rsid w:val="00F223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0458"/>
  <w15:chartTrackingRefBased/>
  <w15:docId w15:val="{F2F19AAB-8E80-40B7-B002-476E9129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1" TargetMode="External"/><Relationship Id="rId13" Type="http://schemas.openxmlformats.org/officeDocument/2006/relationships/hyperlink" Target="https://www.ceta.org.co/html/vista_de_un_articulo.asp?Norma=5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1" TargetMode="External"/><Relationship Id="rId12" Type="http://schemas.openxmlformats.org/officeDocument/2006/relationships/hyperlink" Target="https://www.ceta.org.co/html/vista_de_un_articulo.asp?Norma=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4" TargetMode="External"/><Relationship Id="rId11" Type="http://schemas.openxmlformats.org/officeDocument/2006/relationships/hyperlink" Target="https://www.ceta.org.co/html/vista_de_un_articulo.asp?Norma=32" TargetMode="External"/><Relationship Id="rId5" Type="http://schemas.openxmlformats.org/officeDocument/2006/relationships/hyperlink" Target="https://www.ceta.org.co/html/vista_de_un_articulo.asp?Norma=32" TargetMode="External"/><Relationship Id="rId15" Type="http://schemas.openxmlformats.org/officeDocument/2006/relationships/theme" Target="theme/theme1.xml"/><Relationship Id="rId10" Type="http://schemas.openxmlformats.org/officeDocument/2006/relationships/hyperlink" Target="https://www.ceta.org.co/html/vista_de_un_articulo.asp?Norma=54" TargetMode="External"/><Relationship Id="rId4" Type="http://schemas.openxmlformats.org/officeDocument/2006/relationships/hyperlink" Target="https://www.ceta.org.co/html/vista_de_un_articulo.asp?Norma=31" TargetMode="External"/><Relationship Id="rId9" Type="http://schemas.openxmlformats.org/officeDocument/2006/relationships/hyperlink" Target="https://www.ceta.org.co/html/vista_de_un_articulo.asp?Norma=3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1677</Words>
  <Characters>9227</Characters>
  <Application>Microsoft Office Word</Application>
  <DocSecurity>0</DocSecurity>
  <Lines>76</Lines>
  <Paragraphs>21</Paragraphs>
  <ScaleCrop>false</ScaleCrop>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2019-11-03T01:07:00Z</dcterms:created>
  <dcterms:modified xsi:type="dcterms:W3CDTF">2019-11-05T14:43:00Z</dcterms:modified>
</cp:coreProperties>
</file>